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71A092B3" w:rsidR="005A7127" w:rsidRPr="00FC3F8A" w:rsidRDefault="003558DD" w:rsidP="003558DD">
      <w:hyperlink r:id="rId6" w:history="1">
        <w:r w:rsidRPr="008A06EC">
          <w:rPr>
            <w:rStyle w:val="Collegamentoipertestuale"/>
          </w:rPr>
          <w:t>https://finanza.ilsecoloxix.it/News/2025/02/15/pastore-bcc-iccrea-finito-percorso-aggregativo-che-era-stato-determinato-allinizio-del-gruppo/N18yMDI1LTAyLTE1X1RMQg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311E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2AC7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0B23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3E42"/>
    <w:rsid w:val="00DB55E2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ilsecoloxix.it/News/2025/02/15/pastore-bcc-iccrea-finito-percorso-aggregativo-che-era-stato-determinato-allinizio-del-gruppo/N18yMDI1LTAyLTE1X1RMQ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2025-02-20T15:12:00Z</dcterms:created>
  <dcterms:modified xsi:type="dcterms:W3CDTF">2025-02-20T15:12:00Z</dcterms:modified>
</cp:coreProperties>
</file>